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Calibri"/>
          <w:b/>
          <w:bCs/>
          <w:sz w:val="24"/>
          <w:szCs w:val="24"/>
        </w:rPr>
        <w:t>REGULAMIN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rekrutacji uczestników projektu „EU-geniusz w świecie naukowych żywiołów”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nr FEKP.08.13-IZ.00-0009/24, współfinansowanym ze środków Europejskiego Funduszu Społecznego w ramach Programu Fundusze Europejskie dla Kujaw i Pomorza 2021-2027, Działanie 8.13 Kształcenie ogólne ZITy regionalne </w:t>
      </w:r>
    </w:p>
    <w:p>
      <w:pPr>
        <w:pStyle w:val="Normal"/>
        <w:spacing w:lineRule="auto" w:line="240" w:before="0"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§ 1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Słownik pojęć</w:t>
      </w:r>
    </w:p>
    <w:p>
      <w:pPr>
        <w:pStyle w:val="Normal"/>
        <w:spacing w:lineRule="auto" w:line="240" w:before="0" w:after="0"/>
        <w:rPr/>
      </w:pPr>
      <w:r>
        <w:rPr>
          <w:rFonts w:cs="Calibri"/>
          <w:bCs/>
          <w:sz w:val="23"/>
          <w:szCs w:val="23"/>
        </w:rPr>
        <w:t xml:space="preserve">Ilekroć w regulaminie </w:t>
      </w:r>
      <w:r>
        <w:rPr>
          <w:rFonts w:cs="Calibri"/>
          <w:sz w:val="23"/>
          <w:szCs w:val="23"/>
        </w:rPr>
        <w:t xml:space="preserve">rekrutacji uczestników projektu „EU-geniusz w świecie naukowych żywiołów” (zwanym dalej Regulaminem) </w:t>
      </w:r>
      <w:r>
        <w:rPr>
          <w:rFonts w:cs="Calibri"/>
          <w:bCs/>
          <w:sz w:val="23"/>
          <w:szCs w:val="23"/>
        </w:rPr>
        <w:t xml:space="preserve">jest mowa o: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>Projekcie</w:t>
      </w:r>
      <w:r>
        <w:rPr>
          <w:rFonts w:cs="Calibri"/>
          <w:sz w:val="23"/>
          <w:szCs w:val="23"/>
        </w:rPr>
        <w:t xml:space="preserve"> – należy przez to rozumieć projekt „EU-geniusz w świecie naukowych żywiołów”, nr </w:t>
      </w:r>
      <w:r>
        <w:rPr>
          <w:rFonts w:cs="Calibri"/>
          <w:bCs/>
          <w:sz w:val="23"/>
          <w:szCs w:val="23"/>
        </w:rPr>
        <w:t>FEKP.08.13-IZ.00-0009/24;</w:t>
      </w:r>
    </w:p>
    <w:p>
      <w:pPr>
        <w:pStyle w:val="Normal"/>
        <w:numPr>
          <w:ilvl w:val="0"/>
          <w:numId w:val="7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>szkole</w:t>
      </w:r>
      <w:r>
        <w:rPr>
          <w:rFonts w:cs="Calibri"/>
          <w:sz w:val="23"/>
          <w:szCs w:val="23"/>
        </w:rPr>
        <w:t xml:space="preserve"> – należy przez to rozumieć licea ogólnokształcące i szkoły podstawowe dla których organem prowadzącym jest Gmina: Chełmża, Czernikowo, Lubicz, Łysomice, Miasto Chełmża, Obrowo, Wielka Nieszawka, Zławieś Wielka, Powiat Toruński oraz Gmina: Ciechocin, Golub-Dobrzyń, Miasto Golub-Dobrzyń, Kowalewo Pomorskie, Radomin, Zbójno);</w:t>
      </w:r>
    </w:p>
    <w:p>
      <w:pPr>
        <w:pStyle w:val="Normal"/>
        <w:numPr>
          <w:ilvl w:val="0"/>
          <w:numId w:val="7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>grupie docelowej (uczestnikach projektu)</w:t>
      </w:r>
      <w:r>
        <w:rPr>
          <w:rFonts w:cs="Calibri"/>
          <w:sz w:val="23"/>
          <w:szCs w:val="23"/>
        </w:rPr>
        <w:t xml:space="preserve"> – należy przez to rozumieć uczniów i uczennice ze szkół, o których mowa w ust. 2, zakwalifikowanych do udziału w projekcie;</w:t>
      </w:r>
    </w:p>
    <w:p>
      <w:pPr>
        <w:pStyle w:val="Normal"/>
        <w:numPr>
          <w:ilvl w:val="0"/>
          <w:numId w:val="7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>koordynatorze projektu</w:t>
      </w:r>
      <w:r>
        <w:rPr>
          <w:rFonts w:cs="Calibri"/>
          <w:sz w:val="23"/>
          <w:szCs w:val="23"/>
        </w:rPr>
        <w:t xml:space="preserve"> – należy przez to rozumieć Powiat Toruński;</w:t>
      </w:r>
    </w:p>
    <w:p>
      <w:pPr>
        <w:pStyle w:val="Normal"/>
        <w:numPr>
          <w:ilvl w:val="0"/>
          <w:numId w:val="7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>koordynatorach gminnych i szkolnych</w:t>
      </w:r>
      <w:r>
        <w:rPr>
          <w:rFonts w:cs="Calibri"/>
          <w:sz w:val="23"/>
          <w:szCs w:val="23"/>
        </w:rPr>
        <w:t xml:space="preserve"> – należy przez to rozumieć osoby wyznaczone do obsługi projektu na poziomie danych gmin/szkół. 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§ 2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Założenia projektu i formy wsparcia</w:t>
      </w:r>
    </w:p>
    <w:p>
      <w:pPr>
        <w:pStyle w:val="Normal"/>
        <w:numPr>
          <w:ilvl w:val="0"/>
          <w:numId w:val="10"/>
        </w:numPr>
        <w:autoSpaceDE w:val="false"/>
        <w:spacing w:lineRule="auto" w:line="240" w:before="0" w:after="0"/>
        <w:ind w:hanging="360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Głównym celem Projektu jest rozwijanie kompetencji kluczowy i kompetencji przyszłości u 5000 uczniów w 55 szkołach kształcenia ogólnego z terenu powiatu toruńskiego i golubsko-dobrzyńskiego poprzez realizację zajęć dodatkowych w obszarze STEAM, wyposażenie sal językowych, zakup pomocy dydaktycznych oraz podniesienie kompetencji 690 nauczycieli, w tym, w zakresie metod nauczania STEAM w terminie do 30.06.2028r.</w:t>
      </w:r>
    </w:p>
    <w:p>
      <w:pPr>
        <w:pStyle w:val="Normal"/>
        <w:numPr>
          <w:ilvl w:val="0"/>
          <w:numId w:val="10"/>
        </w:numPr>
        <w:autoSpaceDE w:val="false"/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Projekt realizowany będzie przez powiat toruński w okresie od 01.07.2024r. do 30.06.2028 r.</w:t>
      </w:r>
    </w:p>
    <w:p>
      <w:pPr>
        <w:pStyle w:val="Normal"/>
        <w:numPr>
          <w:ilvl w:val="0"/>
          <w:numId w:val="10"/>
        </w:numPr>
        <w:autoSpaceDE w:val="false"/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Biuro projektu mieści się w siedzibie Starostwa Powiatowego w Toruniu, ul. Towarowa 4-6, 87-100 Toruń, pokój 113.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Wsparcie oferowane grupie docelowej obejmuje następujące formy: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hanging="426"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Zajęcia dodatkowe STEAM,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hanging="426"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Zajęcia dodatkowe z języka angielskiego,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hanging="426"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Certyfikowane kursy języka angielskiego,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hanging="426"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Doradztwo edukacyjno-zawodowe,</w:t>
      </w:r>
    </w:p>
    <w:p>
      <w:pPr>
        <w:pStyle w:val="Normal"/>
        <w:numPr>
          <w:ilvl w:val="0"/>
          <w:numId w:val="16"/>
        </w:numPr>
        <w:spacing w:lineRule="auto" w:line="240" w:before="0" w:after="0"/>
        <w:ind w:hanging="426"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Wyjazdy edukacyjne.</w:t>
      </w:r>
    </w:p>
    <w:p>
      <w:pPr>
        <w:pStyle w:val="BodyText"/>
        <w:numPr>
          <w:ilvl w:val="0"/>
          <w:numId w:val="10"/>
        </w:numPr>
        <w:tabs>
          <w:tab w:val="clear" w:pos="900"/>
        </w:tabs>
        <w:ind w:hanging="426" w:left="426" w:right="0"/>
        <w:rPr>
          <w:rFonts w:ascii="Calibri" w:hAnsi="Calibri" w:cs="Calibri"/>
          <w:sz w:val="23"/>
          <w:szCs w:val="23"/>
        </w:rPr>
      </w:pPr>
      <w:r>
        <w:rPr>
          <w:rFonts w:cs="Calibri" w:ascii="Calibri" w:hAnsi="Calibri"/>
          <w:sz w:val="23"/>
          <w:szCs w:val="23"/>
        </w:rPr>
        <w:t>Wsparcie, o którym mowa w ust. 4 realizowane będzie na terenie szkół, odpowiednio dla miejsca nauki uczestników projektu – dla wszystkich zajęć pozalekcyjnych.</w:t>
      </w:r>
    </w:p>
    <w:p>
      <w:pPr>
        <w:pStyle w:val="BodyText"/>
        <w:numPr>
          <w:ilvl w:val="0"/>
          <w:numId w:val="10"/>
        </w:numPr>
        <w:tabs>
          <w:tab w:val="clear" w:pos="900"/>
        </w:tabs>
        <w:ind w:hanging="426" w:left="426" w:right="0"/>
        <w:rPr>
          <w:rFonts w:ascii="Calibri" w:hAnsi="Calibri" w:cs="Calibri"/>
          <w:sz w:val="23"/>
          <w:szCs w:val="23"/>
        </w:rPr>
      </w:pPr>
      <w:r>
        <w:rPr>
          <w:rFonts w:cs="Calibri" w:ascii="Calibri" w:hAnsi="Calibri"/>
          <w:sz w:val="23"/>
          <w:szCs w:val="23"/>
        </w:rPr>
        <w:t xml:space="preserve">W wyjazdach edukacyjnych uczestniczyć mogą wyłącznie uczniowie, którzy aktywnie uczestniczą w pozostałych formach wsparcia. Wyjazd nie może być jedyną formą wsparcia w projekcie dla ucznia. </w:t>
      </w:r>
    </w:p>
    <w:p>
      <w:pPr>
        <w:pStyle w:val="BodyText"/>
        <w:numPr>
          <w:ilvl w:val="0"/>
          <w:numId w:val="10"/>
        </w:numPr>
        <w:tabs>
          <w:tab w:val="clear" w:pos="900"/>
        </w:tabs>
        <w:ind w:hanging="426" w:left="426" w:right="0"/>
        <w:rPr>
          <w:rFonts w:ascii="Calibri" w:hAnsi="Calibri" w:cs="Calibri"/>
          <w:sz w:val="23"/>
          <w:szCs w:val="23"/>
        </w:rPr>
      </w:pPr>
      <w:r>
        <w:rPr>
          <w:rFonts w:cs="Calibri" w:ascii="Calibri" w:hAnsi="Calibri"/>
          <w:sz w:val="23"/>
          <w:szCs w:val="23"/>
        </w:rPr>
        <w:t xml:space="preserve">Szkoły, biorące udziału w Projekcie będą prowadzić zajęcia przeznaczone dla swoich uczniów, na swoim terenie i z wykorzystaniem infrastruktury własnej oraz zakupionej na potrzeby Projektu. </w:t>
      </w:r>
    </w:p>
    <w:p>
      <w:pPr>
        <w:pStyle w:val="BodyText"/>
        <w:numPr>
          <w:ilvl w:val="0"/>
          <w:numId w:val="10"/>
        </w:numPr>
        <w:tabs>
          <w:tab w:val="clear" w:pos="900"/>
        </w:tabs>
        <w:ind w:hanging="426" w:left="426" w:right="0"/>
        <w:rPr>
          <w:rFonts w:ascii="Calibri" w:hAnsi="Calibri" w:cs="Calibri"/>
          <w:sz w:val="23"/>
          <w:szCs w:val="23"/>
        </w:rPr>
      </w:pPr>
      <w:r>
        <w:rPr>
          <w:rFonts w:cs="Calibri" w:ascii="Calibri" w:hAnsi="Calibri"/>
          <w:sz w:val="23"/>
          <w:szCs w:val="23"/>
        </w:rPr>
        <w:t>Ze wsparcia projektu mogą skorzystać również nauczyciele ze szkół, o których mowa w </w:t>
      </w:r>
      <w:r>
        <w:rPr>
          <w:rFonts w:cs="Calibri" w:ascii="Calibri" w:hAnsi="Calibri"/>
          <w:bCs/>
          <w:sz w:val="23"/>
          <w:szCs w:val="23"/>
        </w:rPr>
        <w:t>§ 1, ust. 2.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Przewidziane formy wsparcia dla grupy docelowej mają charakter nieodpłatny.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Uczestnicy projektu mogą uczestniczyć w kilku formach wsparcia.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Liczebność grup na zajęciach wynosi 8 osób.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§ 3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Kryteria uczestnictwa w projekcie</w:t>
      </w:r>
    </w:p>
    <w:p>
      <w:pPr>
        <w:pStyle w:val="Normal"/>
        <w:numPr>
          <w:ilvl w:val="0"/>
          <w:numId w:val="13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Kryteria rekrutacji uczniów podzielone zostały na kryteria kwalifikacyjne i kryteria premiujące.</w:t>
      </w:r>
    </w:p>
    <w:p>
      <w:pPr>
        <w:pStyle w:val="Normal"/>
        <w:numPr>
          <w:ilvl w:val="0"/>
          <w:numId w:val="13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Kwalifikacyjne kryteria rekrutacji uczniów to:</w:t>
      </w:r>
    </w:p>
    <w:p>
      <w:pPr>
        <w:pStyle w:val="Normal"/>
        <w:numPr>
          <w:ilvl w:val="0"/>
          <w:numId w:val="2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status osoby mieszkającej, pracującej lub uczącej w rozumieniu Kodeksu Cywilnego na terenie województwa kujawsko-pomorskiego; </w:t>
      </w:r>
    </w:p>
    <w:p>
      <w:pPr>
        <w:pStyle w:val="Normal"/>
        <w:numPr>
          <w:ilvl w:val="0"/>
          <w:numId w:val="13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Premiujące kryteria rekrutacji uczniów to:</w:t>
      </w:r>
    </w:p>
    <w:p>
      <w:pPr>
        <w:pStyle w:val="Normal"/>
        <w:numPr>
          <w:ilvl w:val="0"/>
          <w:numId w:val="12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</w:rPr>
        <w:t>dla klas 1-3 szkoły podstawowej:</w:t>
      </w:r>
    </w:p>
    <w:p>
      <w:pPr>
        <w:pStyle w:val="Normal"/>
        <w:numPr>
          <w:ilvl w:val="0"/>
          <w:numId w:val="18"/>
        </w:numPr>
        <w:autoSpaceDE w:val="false"/>
        <w:spacing w:lineRule="auto" w:line="240" w:before="0" w:after="0"/>
        <w:ind w:hanging="425"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opinia wychowawcy klasy sporządzona na podstawie oceny opisowej za poprzedni rok szkolny lub semestr, </w:t>
      </w:r>
    </w:p>
    <w:p>
      <w:pPr>
        <w:pStyle w:val="Normal"/>
        <w:numPr>
          <w:ilvl w:val="0"/>
          <w:numId w:val="12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dla klas 4-8 szkoły podstawowej i liceum ogólnokształcącego:</w:t>
      </w:r>
    </w:p>
    <w:p>
      <w:pPr>
        <w:pStyle w:val="Normal"/>
        <w:numPr>
          <w:ilvl w:val="0"/>
          <w:numId w:val="18"/>
        </w:numPr>
        <w:autoSpaceDE w:val="false"/>
        <w:spacing w:lineRule="auto" w:line="240" w:before="0" w:after="0"/>
        <w:ind w:hanging="425" w:left="1134" w:right="0"/>
        <w:jc w:val="both"/>
        <w:rPr>
          <w:rFonts w:cs="Calibri"/>
          <w:sz w:val="23"/>
          <w:szCs w:val="23"/>
          <w:u w:val="single"/>
        </w:rPr>
      </w:pPr>
      <w:r>
        <w:rPr>
          <w:rFonts w:cs="Calibri"/>
          <w:sz w:val="23"/>
          <w:szCs w:val="23"/>
          <w:u w:val="single"/>
        </w:rPr>
        <w:t>średnia ocen z poprzedniego semestru/roku szkolnego: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/>
      </w:pPr>
      <w:r>
        <w:rPr>
          <w:rFonts w:cs="Calibri"/>
          <w:sz w:val="23"/>
          <w:szCs w:val="23"/>
        </w:rPr>
        <w:t>- poniżej 3,0 – 0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/>
      </w:pPr>
      <w:r>
        <w:rPr>
          <w:rFonts w:cs="Calibri"/>
          <w:sz w:val="23"/>
          <w:szCs w:val="23"/>
        </w:rPr>
        <w:t xml:space="preserve">- 3,1 – 3,4 – 1 pkt; 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- 3,5 – 4,0 – 2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- 4,1 – 4,5 – 3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- 4,6 – 5,0 – 4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- 5,1 – 5,5 – 5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powyżej 5,6 – 6 pkt.</w:t>
      </w:r>
    </w:p>
    <w:p>
      <w:pPr>
        <w:pStyle w:val="Normal"/>
        <w:numPr>
          <w:ilvl w:val="0"/>
          <w:numId w:val="18"/>
        </w:numPr>
        <w:autoSpaceDE w:val="false"/>
        <w:spacing w:lineRule="auto" w:line="240" w:before="0" w:after="0"/>
        <w:ind w:hanging="425" w:left="1134" w:right="0"/>
        <w:jc w:val="both"/>
        <w:rPr>
          <w:rFonts w:cs="Calibri"/>
          <w:sz w:val="23"/>
          <w:szCs w:val="23"/>
          <w:u w:val="single"/>
        </w:rPr>
      </w:pPr>
      <w:r>
        <w:rPr>
          <w:rFonts w:cs="Calibri"/>
          <w:sz w:val="23"/>
          <w:szCs w:val="23"/>
          <w:u w:val="single"/>
        </w:rPr>
        <w:t>ocena z zachowania: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nieodpowiednie/naganne – 0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poprawne – 2pkt;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dobre – 3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/>
      </w:pPr>
      <w:r>
        <w:rPr>
          <w:rFonts w:cs="Calibri"/>
          <w:sz w:val="23"/>
          <w:szCs w:val="23"/>
        </w:rPr>
        <w:t>- bardzo dobre – 4 pkt;</w:t>
      </w:r>
    </w:p>
    <w:p>
      <w:pPr>
        <w:pStyle w:val="Normal"/>
        <w:autoSpaceDE w:val="false"/>
        <w:spacing w:lineRule="auto" w:line="240" w:before="0" w:after="0"/>
        <w:ind w:left="1134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- wzorowe 5 pkt.</w:t>
      </w:r>
    </w:p>
    <w:p>
      <w:pPr>
        <w:pStyle w:val="Normal"/>
        <w:numPr>
          <w:ilvl w:val="0"/>
          <w:numId w:val="13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Dla wszystkich typów form wsparcia obowiązujące będą kryteria kwalifikacyjne, o których mowa w ust. 2.</w:t>
      </w:r>
    </w:p>
    <w:p>
      <w:pPr>
        <w:pStyle w:val="Normal"/>
        <w:numPr>
          <w:ilvl w:val="0"/>
          <w:numId w:val="13"/>
        </w:numPr>
        <w:autoSpaceDE w:val="false"/>
        <w:spacing w:lineRule="auto" w:line="240" w:before="0" w:after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Kryteria, o których mowa w ust. 3 będą stosowane tylko i wyłącznie w przypadku zbyt dużej liczby uczniów zainteresowanych udziałem w projekcie.</w:t>
      </w:r>
    </w:p>
    <w:p>
      <w:pPr>
        <w:pStyle w:val="Normal"/>
        <w:numPr>
          <w:ilvl w:val="0"/>
          <w:numId w:val="13"/>
        </w:numPr>
        <w:autoSpaceDE w:val="false"/>
        <w:spacing w:lineRule="auto" w:line="240" w:before="0" w:after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 ubiegania się o uczestnictwo w projekcie uprawnieni są nauczyciele i nauczycielki, którzy spełniaj</w:t>
      </w:r>
      <w:r>
        <w:rPr>
          <w:rFonts w:eastAsia="TimesNewRoman" w:cs="Calibri"/>
          <w:color w:val="000000"/>
          <w:sz w:val="23"/>
          <w:szCs w:val="23"/>
        </w:rPr>
        <w:t xml:space="preserve">ą </w:t>
      </w:r>
      <w:r>
        <w:rPr>
          <w:rFonts w:cs="Calibri"/>
          <w:color w:val="000000"/>
          <w:sz w:val="23"/>
          <w:szCs w:val="23"/>
        </w:rPr>
        <w:t>kwalifikacyjne kryteria rekrutacji, o których mowa w ust.2.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Calibri"/>
          <w:b/>
          <w:bCs/>
          <w:sz w:val="23"/>
          <w:szCs w:val="23"/>
        </w:rPr>
        <w:t xml:space="preserve">§ 4 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Procedura rekrutacji grupy docelowej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Rekrutacja uczniów odbywać się będzie: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od 02.09.2025 roku do 30.09.2025 roku;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od 02.09.2026 roku do 30.09.2026 roku;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od 02.09.2027 roku do 30.09.2027 roku.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W przypadku </w:t>
      </w:r>
      <w:r>
        <w:rPr>
          <w:rFonts w:cs="Calibri"/>
        </w:rPr>
        <w:t xml:space="preserve">dużego zainteresowania uczniów udziałem w zajęciach dodatkowych rekrutacja może być prowadzona przez cały okres realizacji projektu.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Rekrutacja nauczycieli na szkolenie z metody nauczania STEAM odbywać się będzie od 03.02.2025 roku do 28.04.2025 roku.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Rekrutacja prowadzona będzie w poszczególnych szkołach, które są miejscem pobierania nauki uczniów lub są miejscem pracy nauczycieli – uczestników Projektu.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Dokumenty rekrutacyjne można składać w formie papierowej w sekretariacie szkoły, do której uczeń uczęszcza i w której zatrudniony jest nauczyciel lub w wersji elektronicznej (pdf), jako załącznik wysłany do koordynatora gminnego/szkolnego. </w:t>
      </w:r>
      <w:r>
        <w:rPr>
          <w:rFonts w:cs="Calibri"/>
          <w:color w:val="000000"/>
          <w:sz w:val="23"/>
          <w:szCs w:val="23"/>
        </w:rPr>
        <w:t xml:space="preserve">Dokumenty muszą zostać podpisane przez ucznia/nauczyciela, a w przypadku osoby niepełnoletniej – przez jego rodzica/opiekuna prawnego.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Wymaganymi dokumentami rekrutacyjnymi dla uczniów są: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formularz zgłoszeniowy wraz z deklaracją uczestnictwa w projekcie, którego wzór stanowi załącznik nr 1 do Regulaminu;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oświadczenie uczestnika projektu, którego wzór stanowi załącznik nr 2 do Regulaminu;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Wymaganymi dokumentami rekrutacyjnymi dla nauczycieli są: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formularz zgłoszeniowy, wraz z deklaracją uczestnictwa w projekcie, którego wzór stanowi załącznik nr 3 do Regulaminu;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oświadczenie uczestnika projektu, którego wzór stanowi załącznik nr 2 do Regulaminu;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Nabór uczestników do projektu obejmuje następujące etapy: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wypełnienie i dostarczenie przez uczniów/nauczycieli dokumentów rekrutacyjnych;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weryfikację dokumentów i wybór uczestników projektu przez Komisję rekrutacyjną;</w:t>
      </w:r>
    </w:p>
    <w:p>
      <w:pPr>
        <w:pStyle w:val="Normal"/>
        <w:numPr>
          <w:ilvl w:val="0"/>
          <w:numId w:val="15"/>
        </w:numPr>
        <w:tabs>
          <w:tab w:val="clear" w:pos="708"/>
          <w:tab w:val="left" w:pos="851" w:leader="none"/>
        </w:tabs>
        <w:autoSpaceDE w:val="false"/>
        <w:spacing w:lineRule="auto" w:line="240" w:before="0" w:after="0"/>
        <w:ind w:hanging="425" w:left="851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ogłoszenie listy uczniów/nauczycieli zakwalifikowanych do projektu wraz z listą rezerwową, o ile taka powstanie.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Dokument, o których mowa w ust. 7 składają nauczyciele, którzy uczestniczą w kursach, szkoleniach, studiach podyplomowych.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Wyboru uczestników projektu dokonuje komisja rekrutacyjna powołana w każdej ze szkół, z koordynatorem szkolnym lub gminnym w swym składzie.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Osoby, które z powodu braku miejsc nie zostaną zakwalifikowane do udziału w projekcie będą zapisane na liście rezerwowej i mają pierwszeństwo do przystąpienia do projektu w przypadku rezygnacji innych uczestników.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Rekrutacja odbywać się będzie zgodnie z polityką równych szans, w tym równości płci.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Z posiedzenia komisji rekrutacyjnej sporządzany będzie protokół (załącznik nr 4) zawierający wykaz osób zakwalifikowanych do udziału w projekcie (załącznik nr 5) wraz z listą rezerwową (załącznik nr 6).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rPr>
          <w:rFonts w:cs="Calibri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Decyzja komisji rekrutacyjnej będzie ostateczna i nie będzie podlega odwołaniu.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Lista osób zakwalifikowanych, o której mowa w ust. 13 będzie wywieszona w szkole przez okres 2 tygodniu po posiedzeniu komisji rekrutacyjnej, na tablicy ogłoszeń.  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§ 5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 xml:space="preserve">Prawa i obowiązki grupy docelowej </w:t>
      </w:r>
    </w:p>
    <w:p>
      <w:pPr>
        <w:pStyle w:val="Normal"/>
        <w:numPr>
          <w:ilvl w:val="0"/>
          <w:numId w:val="9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Każdy uczestnik projektu ma prawo do:</w:t>
      </w:r>
    </w:p>
    <w:p>
      <w:pPr>
        <w:pStyle w:val="Normal"/>
        <w:numPr>
          <w:ilvl w:val="0"/>
          <w:numId w:val="8"/>
        </w:numPr>
        <w:autoSpaceDE w:val="false"/>
        <w:spacing w:lineRule="auto" w:line="240" w:before="0" w:after="0"/>
        <w:rPr>
          <w:rFonts w:cs="Calibri"/>
          <w:b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nieodpłatnego udziału w formach wsparcia, o których mowa w § 2 ust. 4;</w:t>
      </w:r>
    </w:p>
    <w:p>
      <w:pPr>
        <w:pStyle w:val="Normal"/>
        <w:numPr>
          <w:ilvl w:val="0"/>
          <w:numId w:val="8"/>
        </w:numPr>
        <w:autoSpaceDE w:val="false"/>
        <w:spacing w:lineRule="auto" w:line="240" w:before="0" w:after="0"/>
        <w:rPr>
          <w:rFonts w:cs="Calibri"/>
          <w:b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korzystania z materiałów i pomocy dydaktycznych zakupionych w ramach Projektu;</w:t>
      </w:r>
    </w:p>
    <w:p>
      <w:pPr>
        <w:pStyle w:val="Normal"/>
        <w:numPr>
          <w:ilvl w:val="0"/>
          <w:numId w:val="8"/>
        </w:numPr>
        <w:autoSpaceDE w:val="false"/>
        <w:spacing w:lineRule="auto" w:line="240" w:before="0" w:after="0"/>
        <w:rPr>
          <w:rFonts w:cs="Calibri"/>
          <w:b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zgłaszania uwag i oceny form wsparcia, w których uczestniczył.</w:t>
      </w:r>
    </w:p>
    <w:p>
      <w:pPr>
        <w:pStyle w:val="Normal"/>
        <w:numPr>
          <w:ilvl w:val="0"/>
          <w:numId w:val="9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Każdy uczestnik projektu zobowiązany jest do:</w:t>
      </w:r>
    </w:p>
    <w:p>
      <w:pPr>
        <w:pStyle w:val="Normal"/>
        <w:numPr>
          <w:ilvl w:val="0"/>
          <w:numId w:val="11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aktywnego, systematycznego udziału w zajęciach;</w:t>
      </w:r>
    </w:p>
    <w:p>
      <w:pPr>
        <w:pStyle w:val="Normal"/>
        <w:numPr>
          <w:ilvl w:val="0"/>
          <w:numId w:val="11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przestrzegania zasad zachowania określonych przez kadrę prowadzącą zajęcia z uwzględnieniem BHP;</w:t>
      </w:r>
    </w:p>
    <w:p>
      <w:pPr>
        <w:pStyle w:val="Normal"/>
        <w:numPr>
          <w:ilvl w:val="0"/>
          <w:numId w:val="11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potwierdzenia swojej obecności na zajęciach;</w:t>
      </w:r>
    </w:p>
    <w:p>
      <w:pPr>
        <w:pStyle w:val="Normal"/>
        <w:numPr>
          <w:ilvl w:val="0"/>
          <w:numId w:val="11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wypełnienia testów sprawdzających czy też ankiet ewaluacyjnych i innych podobnych form oceny nabycia kompetencji, w zależności od wymogów danej formy wsparcia;</w:t>
      </w:r>
    </w:p>
    <w:p>
      <w:pPr>
        <w:pStyle w:val="Normal"/>
        <w:numPr>
          <w:ilvl w:val="0"/>
          <w:numId w:val="11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 xml:space="preserve">bieżącego informowania koordynatora gminnego/szkolnego o wszystkich zdarzeniach mogących zakłócić dalsze uczestnictwo w projekcie. 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§ 6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Zasady rezygnacji grupy docelowej z udziału w projekcie</w:t>
      </w:r>
    </w:p>
    <w:p>
      <w:pPr>
        <w:pStyle w:val="Normal"/>
        <w:numPr>
          <w:ilvl w:val="3"/>
          <w:numId w:val="14"/>
        </w:numPr>
        <w:tabs>
          <w:tab w:val="clear" w:pos="708"/>
          <w:tab w:val="left" w:pos="360" w:leader="none"/>
        </w:tabs>
        <w:autoSpaceDE w:val="false"/>
        <w:spacing w:lineRule="auto" w:line="240" w:before="0" w:after="0"/>
        <w:ind w:hanging="360" w:left="360" w:right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Udzielania wsparcia zaprzestaje się, gdy uczestnik projektu:</w:t>
      </w:r>
    </w:p>
    <w:p>
      <w:pPr>
        <w:pStyle w:val="Normal"/>
        <w:numPr>
          <w:ilvl w:val="0"/>
          <w:numId w:val="6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przerwał naukę w szkole;</w:t>
      </w:r>
    </w:p>
    <w:p>
      <w:pPr>
        <w:pStyle w:val="Normal"/>
        <w:numPr>
          <w:ilvl w:val="0"/>
          <w:numId w:val="6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został skreślony z listy uczniów;</w:t>
      </w:r>
    </w:p>
    <w:p>
      <w:pPr>
        <w:pStyle w:val="Normal"/>
        <w:numPr>
          <w:ilvl w:val="0"/>
          <w:numId w:val="6"/>
        </w:numPr>
        <w:autoSpaceDE w:val="false"/>
        <w:spacing w:lineRule="auto" w:line="240" w:before="0" w:after="0"/>
        <w:jc w:val="both"/>
        <w:rPr>
          <w:rFonts w:cs="Calibri"/>
          <w:bCs/>
          <w:sz w:val="23"/>
          <w:szCs w:val="23"/>
        </w:rPr>
      </w:pPr>
      <w:r>
        <w:rPr>
          <w:rFonts w:cs="Calibri"/>
          <w:bCs/>
          <w:sz w:val="23"/>
          <w:szCs w:val="23"/>
        </w:rPr>
        <w:t>zrezygnował ze wsparcia.</w:t>
      </w:r>
    </w:p>
    <w:p>
      <w:pPr>
        <w:pStyle w:val="Normal"/>
        <w:numPr>
          <w:ilvl w:val="3"/>
          <w:numId w:val="14"/>
        </w:numPr>
        <w:tabs>
          <w:tab w:val="clear" w:pos="708"/>
          <w:tab w:val="left" w:pos="360" w:leader="none"/>
        </w:tabs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Koordynatorzy gminni i szkolni zobowiązani są poinformować kierownika projektu, o zaistnieniu okoliczności opisanych w ust. 1 w terminie nie dłuższym niż 3 dni od momentu, w którym otrzymali taką informację.</w:t>
      </w:r>
    </w:p>
    <w:p>
      <w:pPr>
        <w:pStyle w:val="Normal"/>
        <w:numPr>
          <w:ilvl w:val="3"/>
          <w:numId w:val="14"/>
        </w:numPr>
        <w:tabs>
          <w:tab w:val="clear" w:pos="708"/>
          <w:tab w:val="left" w:pos="360" w:leader="none"/>
        </w:tabs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Każda osoba biorąca udział w projekcie akceptuje warunki Regulaminu poprzez podpisanie formularza zgłoszeniowego. </w:t>
      </w:r>
    </w:p>
    <w:p>
      <w:pPr>
        <w:pStyle w:val="Normal"/>
        <w:numPr>
          <w:ilvl w:val="3"/>
          <w:numId w:val="14"/>
        </w:numPr>
        <w:tabs>
          <w:tab w:val="clear" w:pos="708"/>
          <w:tab w:val="left" w:pos="360" w:leader="none"/>
        </w:tabs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Osoba zakwalifikowana do projektu może w uzasadnionych przypadkach zrezygnować z uczestnictwa w nim, składając u koordynatora gminnego/szkolnego stosowane oświadczenie wraz z podaniem przyczyny potwierdzonej stosownym dokumentem. </w:t>
      </w:r>
    </w:p>
    <w:p>
      <w:pPr>
        <w:pStyle w:val="Normal"/>
        <w:numPr>
          <w:ilvl w:val="3"/>
          <w:numId w:val="14"/>
        </w:numPr>
        <w:tabs>
          <w:tab w:val="clear" w:pos="708"/>
          <w:tab w:val="left" w:pos="360" w:leader="none"/>
        </w:tabs>
        <w:spacing w:lineRule="auto" w:line="240" w:before="0" w:after="0"/>
        <w:ind w:hanging="360" w:left="360" w:right="0"/>
        <w:jc w:val="both"/>
        <w:rPr>
          <w:rFonts w:cs="Calibri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Osoba rezygnująca lub skreślona z udziału w projekcie musi wypełnić wszystkie dokumenty niezbędne do sprawozdawczości, monitoringu i ewaluacji projektu. </w:t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§ 7</w:t>
      </w:r>
    </w:p>
    <w:p>
      <w:pPr>
        <w:pStyle w:val="Normal"/>
        <w:spacing w:lineRule="auto" w:line="240" w:before="0" w:after="0"/>
        <w:ind w:left="360" w:right="0"/>
        <w:jc w:val="center"/>
        <w:rPr>
          <w:rFonts w:cs="Calibri"/>
          <w:b/>
          <w:bCs/>
          <w:sz w:val="23"/>
          <w:szCs w:val="23"/>
        </w:rPr>
      </w:pPr>
      <w:r>
        <w:rPr>
          <w:rFonts w:cs="Calibri"/>
          <w:b/>
          <w:bCs/>
          <w:sz w:val="23"/>
          <w:szCs w:val="23"/>
        </w:rPr>
        <w:t>Postanowienia końcowe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Regulamin wchodzi w życie z dniem jego zatwierdzenia poprzez wydanie Zarządzenia Dyrektora Szkoły (załącznik nr 7).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426" w:left="426" w:right="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Zarządzenie, o którym mowa w ust. 1 powoływać będzie także członków komisji rekrutacyjnej.</w:t>
      </w:r>
    </w:p>
    <w:p>
      <w:pPr>
        <w:pStyle w:val="Normal"/>
        <w:numPr>
          <w:ilvl w:val="0"/>
          <w:numId w:val="17"/>
        </w:numPr>
        <w:spacing w:lineRule="auto" w:line="240" w:before="0" w:after="0"/>
        <w:ind w:hanging="426" w:left="426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sprawach nieuregulowanych niniejszym Regulaminem zastosowanie mają odpowiednie reguły i zasady wynikające z Regulaminu konkursu nr FEKP.08.13-IZ.00-076/23, a także przepisy wynikające z właściwych aktów prawa wspólnotowego i krajowego.</w:t>
      </w:r>
    </w:p>
    <w:p>
      <w:pPr>
        <w:pStyle w:val="Normal"/>
        <w:numPr>
          <w:ilvl w:val="0"/>
          <w:numId w:val="17"/>
        </w:numPr>
        <w:autoSpaceDE w:val="false"/>
        <w:spacing w:lineRule="auto" w:line="240" w:before="0" w:after="0"/>
        <w:ind w:hanging="426" w:left="426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Wszelkie sprawy związane z interpretacją niniejszego Regulaminu rozstrzygane są przez koordynatorów gminnych/szkolnych i kierownika projektu. </w:t>
      </w:r>
    </w:p>
    <w:p>
      <w:pPr>
        <w:pStyle w:val="Normal"/>
        <w:numPr>
          <w:ilvl w:val="0"/>
          <w:numId w:val="17"/>
        </w:numPr>
        <w:autoSpaceDE w:val="false"/>
        <w:spacing w:lineRule="auto" w:line="240" w:before="0" w:after="0"/>
        <w:ind w:hanging="426" w:left="426" w:right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uzasadnionych przypadkach zastrzega się prawo zmiany Regulaminu. </w:t>
      </w:r>
    </w:p>
    <w:p>
      <w:pPr>
        <w:pStyle w:val="Normal"/>
        <w:spacing w:lineRule="auto" w:line="240" w:before="0"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Załączniki: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jc w:val="both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>Wzór formularza zgłoszeniowego uczestnika projektu wraz z deklaracją uczestnictwa w projekcie (uczeń).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 xml:space="preserve">Wzór oświadczenia uczestnika projektu. 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jc w:val="both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>Wzór formularza zgłoszeniowego uczestnika projektu wraz z deklaracją uczestnictwa w projekcie (nauczyciel).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>Wzór protokołu z posiedzenia komisji rekrutacyjnej.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>Wzór listy osób zakwalifikowanych do projektu.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>Wzór listy rezerwowej.</w:t>
      </w:r>
    </w:p>
    <w:p>
      <w:pPr>
        <w:pStyle w:val="Normal"/>
        <w:numPr>
          <w:ilvl w:val="0"/>
          <w:numId w:val="5"/>
        </w:numPr>
        <w:autoSpaceDE w:val="false"/>
        <w:spacing w:lineRule="auto" w:line="240" w:before="0" w:after="0"/>
        <w:rPr>
          <w:rFonts w:cs="Calibri"/>
          <w:color w:val="000000"/>
          <w:sz w:val="20"/>
          <w:szCs w:val="24"/>
        </w:rPr>
      </w:pPr>
      <w:r>
        <w:rPr>
          <w:rFonts w:cs="Calibri"/>
          <w:color w:val="000000"/>
          <w:sz w:val="20"/>
          <w:szCs w:val="24"/>
        </w:rPr>
        <w:t>Wzór Zarządzenia Dyrektora.</w:t>
      </w:r>
    </w:p>
    <w:p>
      <w:pPr>
        <w:pStyle w:val="Normal"/>
        <w:spacing w:lineRule="auto" w:line="240" w:before="0" w:after="0"/>
        <w:rPr>
          <w:rFonts w:cs="Calibri"/>
          <w:i/>
          <w:i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ee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Projekt współfinansowany ze środków Unii Europejskiej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nyWeb"/>
      <w:spacing w:before="0" w:after="280"/>
      <w:rPr>
        <w:lang w:val="pl-PL" w:eastAsia="pl-PL"/>
      </w:rPr>
    </w:pPr>
    <w:r>
      <w:rPr>
        <w:lang w:val="pl-PL" w:eastAsia="pl-PL"/>
      </w:rPr>
      <w:drawing>
        <wp:inline distT="0" distB="0" distL="0" distR="0">
          <wp:extent cx="5680075" cy="7004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5" r="-1" b="-5"/>
                  <a:stretch>
                    <a:fillRect/>
                  </a:stretch>
                </pic:blipFill>
                <pic:spPr bwMode="auto">
                  <a:xfrm>
                    <a:off x="0" y="0"/>
                    <a:ext cx="5680075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4"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eastAsia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/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/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b w:val="false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b w:val="false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3z0">
    <w:name w:val="WW8Num13z0"/>
    <w:qFormat/>
    <w:rPr>
      <w:b w:val="false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2">
    <w:name w:val="WW8Num15z2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>
      <w:rFonts w:ascii="Times New Roman" w:hAnsi="Times New Roman" w:eastAsia="Times New Roman" w:cs="Times New Roman"/>
    </w:rPr>
  </w:style>
  <w:style w:type="character" w:styleId="WW8Num17z2">
    <w:name w:val="WW8Num17z2"/>
    <w:qFormat/>
    <w:rPr>
      <w:rFonts w:ascii="Symbol" w:hAnsi="Symbol" w:cs="Symbol"/>
    </w:rPr>
  </w:style>
  <w:style w:type="character" w:styleId="WW8Num17z5">
    <w:name w:val="WW8Num17z5"/>
    <w:qFormat/>
    <w:rPr>
      <w:rFonts w:ascii="Wingdings" w:hAnsi="Wingdings" w:cs="Wingdings"/>
    </w:rPr>
  </w:style>
  <w:style w:type="character" w:styleId="WW8Num17z7">
    <w:name w:val="WW8Num17z7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2z2">
    <w:name w:val="WW8Num22z2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b w:val="false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Calibri" w:hAnsi="Calibri" w:eastAsia="Calibri" w:cs="Times New Roman"/>
    </w:rPr>
  </w:style>
  <w:style w:type="character" w:styleId="StopkaZnak">
    <w:name w:val="Stopka Znak"/>
    <w:qFormat/>
    <w:rPr>
      <w:rFonts w:ascii="Calibri" w:hAnsi="Calibri" w:eastAsia="Calibri" w:cs="Times New Roman"/>
    </w:rPr>
  </w:style>
  <w:style w:type="character" w:styleId="TekstpodstawowyZnak">
    <w:name w:val="Tekst podstawowy Znak"/>
    <w:qFormat/>
    <w:rPr>
      <w:rFonts w:ascii="Times New Roman" w:hAnsi="Times New Roman" w:eastAsia="Times New Roman" w:cs="Times New Roman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tabs>
        <w:tab w:val="clear" w:pos="708"/>
        <w:tab w:val="left" w:pos="900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LibreOffice/24.2.7.2$Linux_X86_64 LibreOffice_project/420$Build-2</Application>
  <AppVersion>15.0000</AppVersion>
  <Pages>7</Pages>
  <Words>1392</Words>
  <Characters>8828</Characters>
  <CharactersWithSpaces>10061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2025-09-04T20:03:00Z</dcterms:created>
  <dc:creator>Starostwo</dc:creator>
  <dc:description/>
  <dc:language>pl-PL</dc:language>
  <cp:lastModifiedBy>Agnieszka</cp:lastModifiedBy>
  <dcterms:modified xsi:type="dcterms:W3CDTF">2025-09-04T20:03:00Z</dcterms:modified>
  <cp:revision>2</cp:revision>
  <dc:subject/>
  <dc:title/>
</cp:coreProperties>
</file>